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FB7B" w14:textId="77777777" w:rsidR="00BD6B5B" w:rsidRPr="00247C49" w:rsidRDefault="00527EAB" w:rsidP="00527EAB">
      <w:pPr>
        <w:spacing w:after="0"/>
        <w:rPr>
          <w:rFonts w:cs="Arial"/>
        </w:rPr>
      </w:pPr>
      <w:r w:rsidRPr="00247C49">
        <w:rPr>
          <w:rFonts w:cs="Arial"/>
          <w:noProof/>
        </w:rPr>
        <w:drawing>
          <wp:inline distT="0" distB="0" distL="0" distR="0" wp14:anchorId="42E11474" wp14:editId="4FDA8214">
            <wp:extent cx="1091244" cy="592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A-logo_RGB.jpg"/>
                    <pic:cNvPicPr/>
                  </pic:nvPicPr>
                  <pic:blipFill>
                    <a:blip r:embed="rId8">
                      <a:extLst>
                        <a:ext uri="{28A0092B-C50C-407E-A947-70E740481C1C}">
                          <a14:useLocalDpi xmlns:a14="http://schemas.microsoft.com/office/drawing/2010/main" val="0"/>
                        </a:ext>
                      </a:extLst>
                    </a:blip>
                    <a:stretch>
                      <a:fillRect/>
                    </a:stretch>
                  </pic:blipFill>
                  <pic:spPr>
                    <a:xfrm>
                      <a:off x="0" y="0"/>
                      <a:ext cx="1092992" cy="593480"/>
                    </a:xfrm>
                    <a:prstGeom prst="rect">
                      <a:avLst/>
                    </a:prstGeom>
                  </pic:spPr>
                </pic:pic>
              </a:graphicData>
            </a:graphic>
          </wp:inline>
        </w:drawing>
      </w:r>
    </w:p>
    <w:p w14:paraId="18EA628C" w14:textId="77777777" w:rsidR="00527EAB" w:rsidRPr="00247C49" w:rsidRDefault="00527EAB" w:rsidP="00A37E6C">
      <w:pPr>
        <w:spacing w:after="0"/>
        <w:jc w:val="center"/>
        <w:rPr>
          <w:rFonts w:cs="Arial"/>
        </w:rPr>
      </w:pPr>
    </w:p>
    <w:p w14:paraId="72D3458F" w14:textId="77777777" w:rsidR="00B22DBB" w:rsidRPr="00247C49" w:rsidRDefault="00B22DBB" w:rsidP="00A37E6C">
      <w:pPr>
        <w:spacing w:after="0"/>
        <w:jc w:val="center"/>
        <w:rPr>
          <w:rFonts w:cs="Arial"/>
        </w:rPr>
      </w:pPr>
    </w:p>
    <w:p w14:paraId="2E2081B3" w14:textId="77777777" w:rsidR="00EA35F5" w:rsidRPr="007C0DCE" w:rsidRDefault="007C0DCE" w:rsidP="00A37E6C">
      <w:pPr>
        <w:spacing w:after="0"/>
        <w:jc w:val="center"/>
        <w:rPr>
          <w:rFonts w:cs="Arial"/>
          <w:b/>
        </w:rPr>
      </w:pPr>
      <w:r w:rsidRPr="007C0DCE">
        <w:rPr>
          <w:rFonts w:cs="Arial"/>
          <w:b/>
        </w:rPr>
        <w:t>POLICY ON SOLICITING DONATIONS AT EVENTS ON IAIA PROPERTY</w:t>
      </w:r>
    </w:p>
    <w:p w14:paraId="301C8885" w14:textId="77777777" w:rsidR="003902A5" w:rsidRPr="00247C49" w:rsidRDefault="003902A5" w:rsidP="00595625">
      <w:pPr>
        <w:spacing w:after="0"/>
        <w:rPr>
          <w:rFonts w:cs="Arial"/>
        </w:rPr>
      </w:pPr>
    </w:p>
    <w:p w14:paraId="51AE1DA6" w14:textId="77777777" w:rsidR="00BD6B5B" w:rsidRPr="00247C49" w:rsidRDefault="00BD6B5B" w:rsidP="00595625">
      <w:pPr>
        <w:spacing w:after="0"/>
        <w:rPr>
          <w:rFonts w:cs="Arial"/>
        </w:rPr>
      </w:pPr>
    </w:p>
    <w:p w14:paraId="1FB44026" w14:textId="77777777" w:rsidR="005E6828" w:rsidRPr="005E6828" w:rsidRDefault="005E6828" w:rsidP="005E6828">
      <w:pPr>
        <w:spacing w:after="0"/>
        <w:rPr>
          <w:rFonts w:cs="Arial"/>
          <w:b/>
        </w:rPr>
      </w:pPr>
      <w:r w:rsidRPr="005E6828">
        <w:rPr>
          <w:rFonts w:cs="Arial"/>
          <w:b/>
        </w:rPr>
        <w:t>1.</w:t>
      </w:r>
      <w:r>
        <w:rPr>
          <w:rFonts w:cs="Arial"/>
          <w:b/>
        </w:rPr>
        <w:t xml:space="preserve"> </w:t>
      </w:r>
      <w:r w:rsidR="007C0DCE">
        <w:rPr>
          <w:rFonts w:cs="Arial"/>
          <w:b/>
        </w:rPr>
        <w:t>Reason f</w:t>
      </w:r>
      <w:r w:rsidR="007C0DCE" w:rsidRPr="005E6828">
        <w:rPr>
          <w:rFonts w:cs="Arial"/>
          <w:b/>
        </w:rPr>
        <w:t>or Policy</w:t>
      </w:r>
    </w:p>
    <w:p w14:paraId="610DB949" w14:textId="77777777" w:rsidR="005E6828" w:rsidRPr="00247C49" w:rsidRDefault="005E6828" w:rsidP="005E6828">
      <w:pPr>
        <w:spacing w:after="0"/>
        <w:rPr>
          <w:rFonts w:cs="Arial"/>
        </w:rPr>
      </w:pPr>
    </w:p>
    <w:p w14:paraId="668A0A4C" w14:textId="77777777" w:rsidR="005E6828" w:rsidRPr="00247C49" w:rsidRDefault="005E6828" w:rsidP="005E6828">
      <w:pPr>
        <w:spacing w:after="0"/>
        <w:rPr>
          <w:rFonts w:cs="Arial"/>
        </w:rPr>
      </w:pPr>
      <w:r>
        <w:rPr>
          <w:rFonts w:cs="Arial"/>
        </w:rPr>
        <w:t>The m</w:t>
      </w:r>
      <w:r w:rsidRPr="002437B1">
        <w:rPr>
          <w:rFonts w:cs="Arial"/>
        </w:rPr>
        <w:t>ission</w:t>
      </w:r>
      <w:r>
        <w:rPr>
          <w:rFonts w:cs="Arial"/>
        </w:rPr>
        <w:t xml:space="preserve"> of </w:t>
      </w:r>
      <w:r w:rsidR="0065622F">
        <w:rPr>
          <w:rFonts w:cs="Arial"/>
        </w:rPr>
        <w:t xml:space="preserve">the </w:t>
      </w:r>
      <w:r w:rsidR="009F7220" w:rsidRPr="00247C49">
        <w:rPr>
          <w:rFonts w:cs="Arial"/>
        </w:rPr>
        <w:t>Institute of American Indian Arts (IAIA</w:t>
      </w:r>
      <w:r w:rsidR="0065622F">
        <w:rPr>
          <w:rFonts w:cs="Arial"/>
        </w:rPr>
        <w:t xml:space="preserve">) </w:t>
      </w:r>
      <w:r>
        <w:rPr>
          <w:rFonts w:cs="Arial"/>
        </w:rPr>
        <w:t xml:space="preserve">is </w:t>
      </w:r>
      <w:r w:rsidRPr="002437B1">
        <w:rPr>
          <w:rFonts w:cs="Arial"/>
        </w:rPr>
        <w:t>“To empower creativity and leadership in Native Arts and cultures through higher education, life-long learning and outreach.”</w:t>
      </w:r>
      <w:r>
        <w:rPr>
          <w:rFonts w:cs="Arial"/>
        </w:rPr>
        <w:t xml:space="preserve">  Its vision i</w:t>
      </w:r>
      <w:r w:rsidRPr="002437B1">
        <w:rPr>
          <w:rFonts w:cs="Arial"/>
        </w:rPr>
        <w:t>s to be the premier educational institution for Native arts and cultures.</w:t>
      </w:r>
      <w:r w:rsidR="009F7220">
        <w:rPr>
          <w:rFonts w:cs="Arial"/>
        </w:rPr>
        <w:t xml:space="preserve">  IAIA is primarily an educational institution and as such is committed to serving the general community as a resource.  Therefore, IAIA offers opportunities for the community to attend events whe</w:t>
      </w:r>
      <w:r w:rsidR="00020BB2">
        <w:rPr>
          <w:rFonts w:cs="Arial"/>
        </w:rPr>
        <w:t>re the principal focus is on an</w:t>
      </w:r>
      <w:r w:rsidR="009F7220">
        <w:rPr>
          <w:rFonts w:cs="Arial"/>
        </w:rPr>
        <w:t xml:space="preserve"> educational experience free of fundraising solicitations.</w:t>
      </w:r>
    </w:p>
    <w:p w14:paraId="58B9EB36" w14:textId="77777777" w:rsidR="005E6828" w:rsidRDefault="005E6828" w:rsidP="005E6828">
      <w:pPr>
        <w:spacing w:after="0"/>
        <w:rPr>
          <w:rFonts w:cs="Arial"/>
        </w:rPr>
      </w:pPr>
    </w:p>
    <w:p w14:paraId="6F815C24" w14:textId="77777777" w:rsidR="007C0DCE" w:rsidRPr="00247C49" w:rsidRDefault="007C0DCE" w:rsidP="005E6828">
      <w:pPr>
        <w:spacing w:after="0"/>
        <w:rPr>
          <w:rFonts w:cs="Arial"/>
        </w:rPr>
      </w:pPr>
    </w:p>
    <w:p w14:paraId="50B8D600" w14:textId="77777777" w:rsidR="008D4DA7" w:rsidRPr="00247C49" w:rsidRDefault="005E6828" w:rsidP="009F1DAC">
      <w:pPr>
        <w:spacing w:after="0"/>
        <w:rPr>
          <w:rFonts w:cs="Arial"/>
          <w:b/>
        </w:rPr>
      </w:pPr>
      <w:r>
        <w:rPr>
          <w:rFonts w:cs="Arial"/>
          <w:b/>
        </w:rPr>
        <w:t>2</w:t>
      </w:r>
      <w:r w:rsidR="009F1DAC" w:rsidRPr="00247C49">
        <w:rPr>
          <w:rFonts w:cs="Arial"/>
          <w:b/>
        </w:rPr>
        <w:t xml:space="preserve">. </w:t>
      </w:r>
      <w:r w:rsidR="007C0DCE">
        <w:rPr>
          <w:rFonts w:cs="Arial"/>
          <w:b/>
        </w:rPr>
        <w:t>Oversight of Policy</w:t>
      </w:r>
    </w:p>
    <w:p w14:paraId="5DF6A0D4" w14:textId="77777777" w:rsidR="008D4DA7" w:rsidRPr="00247C49" w:rsidRDefault="008D4DA7" w:rsidP="00595625">
      <w:pPr>
        <w:spacing w:after="0"/>
        <w:rPr>
          <w:rFonts w:cs="Arial"/>
        </w:rPr>
      </w:pPr>
    </w:p>
    <w:p w14:paraId="5984D542" w14:textId="77777777" w:rsidR="00595625" w:rsidRPr="00247C49" w:rsidRDefault="009F7220" w:rsidP="00595625">
      <w:pPr>
        <w:spacing w:after="0"/>
        <w:rPr>
          <w:rFonts w:cs="Arial"/>
        </w:rPr>
      </w:pPr>
      <w:r>
        <w:rPr>
          <w:rFonts w:cs="Arial"/>
        </w:rPr>
        <w:t xml:space="preserve">Notwithstanding the </w:t>
      </w:r>
      <w:r w:rsidR="007C0DCE">
        <w:rPr>
          <w:rFonts w:cs="Arial"/>
        </w:rPr>
        <w:t>public service</w:t>
      </w:r>
      <w:r>
        <w:rPr>
          <w:rFonts w:cs="Arial"/>
        </w:rPr>
        <w:t xml:space="preserve"> primacy of IAIA</w:t>
      </w:r>
      <w:r w:rsidR="007C0DCE">
        <w:rPr>
          <w:rFonts w:cs="Arial"/>
        </w:rPr>
        <w:t>’s educational</w:t>
      </w:r>
      <w:r>
        <w:rPr>
          <w:rFonts w:cs="Arial"/>
        </w:rPr>
        <w:t xml:space="preserve"> activities, g</w:t>
      </w:r>
      <w:r w:rsidR="00F96540" w:rsidRPr="00247C49">
        <w:rPr>
          <w:rFonts w:cs="Arial"/>
        </w:rPr>
        <w:t>enerating p</w:t>
      </w:r>
      <w:r w:rsidR="0065622F">
        <w:rPr>
          <w:rFonts w:cs="Arial"/>
        </w:rPr>
        <w:t>rivate financial support for IAIA</w:t>
      </w:r>
      <w:r w:rsidR="00F96540" w:rsidRPr="00247C49">
        <w:rPr>
          <w:rFonts w:cs="Arial"/>
        </w:rPr>
        <w:t xml:space="preserve"> is a high institutional priority.  </w:t>
      </w:r>
      <w:r w:rsidR="002B3D38" w:rsidRPr="00247C49">
        <w:rPr>
          <w:rFonts w:cs="Arial"/>
        </w:rPr>
        <w:t xml:space="preserve">The IAIA Office of Institutional Advancement </w:t>
      </w:r>
      <w:r w:rsidR="00E618E6" w:rsidRPr="00247C49">
        <w:rPr>
          <w:rFonts w:cs="Arial"/>
        </w:rPr>
        <w:t xml:space="preserve">(OIA) </w:t>
      </w:r>
      <w:r w:rsidR="002B3D38" w:rsidRPr="00247C49">
        <w:rPr>
          <w:rFonts w:cs="Arial"/>
        </w:rPr>
        <w:t>is tasked by the President and Board of Trustees with the responsibility for planning, implementing, managing, assessing, and coordinating all activities related to the cultivation, solicitation, and stewardship of donors</w:t>
      </w:r>
      <w:r w:rsidR="00595625" w:rsidRPr="00247C49">
        <w:rPr>
          <w:rFonts w:cs="Arial"/>
        </w:rPr>
        <w:t xml:space="preserve"> for IAIA and its departments, centers, programs, projects, operations, and other institutional priorities.</w:t>
      </w:r>
      <w:r w:rsidR="006A3E77" w:rsidRPr="00247C49">
        <w:rPr>
          <w:rFonts w:cs="Arial"/>
        </w:rPr>
        <w:t xml:space="preserve">  It is essential that IAIA approaches its fundraising efforts in a planned and coordinated manner that fosters trust, engagement, and strong ongoing relationships with its various contributors.  Therefore, t</w:t>
      </w:r>
      <w:r w:rsidR="002B3D38" w:rsidRPr="00247C49">
        <w:rPr>
          <w:rFonts w:cs="Arial"/>
        </w:rPr>
        <w:t xml:space="preserve">he </w:t>
      </w:r>
      <w:r w:rsidR="006A3E77" w:rsidRPr="00247C49">
        <w:rPr>
          <w:rFonts w:cs="Arial"/>
        </w:rPr>
        <w:t xml:space="preserve">OIA </w:t>
      </w:r>
      <w:r w:rsidR="00462E1F" w:rsidRPr="00247C49">
        <w:rPr>
          <w:rFonts w:cs="Arial"/>
        </w:rPr>
        <w:t>oversees all fundraising activities</w:t>
      </w:r>
      <w:r w:rsidR="0065622F">
        <w:rPr>
          <w:rFonts w:cs="Arial"/>
        </w:rPr>
        <w:t>,</w:t>
      </w:r>
      <w:r w:rsidR="00462E1F" w:rsidRPr="00247C49">
        <w:rPr>
          <w:rFonts w:cs="Arial"/>
        </w:rPr>
        <w:t xml:space="preserve"> and solicitations</w:t>
      </w:r>
      <w:r w:rsidR="002B3D38" w:rsidRPr="00247C49">
        <w:rPr>
          <w:rFonts w:cs="Arial"/>
        </w:rPr>
        <w:t xml:space="preserve"> to any IAIA constituents, including alumni, students, parents, faculty, staff, friends,</w:t>
      </w:r>
      <w:r w:rsidR="009F1DAC" w:rsidRPr="00247C49">
        <w:rPr>
          <w:rFonts w:cs="Arial"/>
        </w:rPr>
        <w:t xml:space="preserve"> businesses, and corporations.</w:t>
      </w:r>
      <w:r w:rsidR="0065622F">
        <w:rPr>
          <w:rFonts w:cs="Arial"/>
        </w:rPr>
        <w:t xml:space="preserve">  Additionally, the OIA oversees the development and implementation of policies governing all fundraising and solicitation activities.</w:t>
      </w:r>
    </w:p>
    <w:p w14:paraId="57F62290" w14:textId="77777777" w:rsidR="0081321D" w:rsidRDefault="0081321D" w:rsidP="00595625">
      <w:pPr>
        <w:spacing w:after="0"/>
        <w:rPr>
          <w:rFonts w:cs="Arial"/>
        </w:rPr>
      </w:pPr>
    </w:p>
    <w:p w14:paraId="1898C322" w14:textId="77777777" w:rsidR="007C0DCE" w:rsidRPr="00247C49" w:rsidRDefault="007C0DCE" w:rsidP="00595625">
      <w:pPr>
        <w:spacing w:after="0"/>
        <w:rPr>
          <w:rFonts w:cs="Arial"/>
        </w:rPr>
      </w:pPr>
    </w:p>
    <w:p w14:paraId="3782BA81" w14:textId="77777777" w:rsidR="009F1DAC" w:rsidRPr="00247C49" w:rsidRDefault="005E6828" w:rsidP="00595625">
      <w:pPr>
        <w:spacing w:after="0"/>
        <w:rPr>
          <w:rFonts w:cs="Arial"/>
          <w:b/>
        </w:rPr>
      </w:pPr>
      <w:r>
        <w:rPr>
          <w:rFonts w:cs="Arial"/>
          <w:b/>
        </w:rPr>
        <w:t>3</w:t>
      </w:r>
      <w:r w:rsidR="009F1DAC" w:rsidRPr="00247C49">
        <w:rPr>
          <w:rFonts w:cs="Arial"/>
          <w:b/>
        </w:rPr>
        <w:t xml:space="preserve">. </w:t>
      </w:r>
      <w:r w:rsidR="007C0DCE" w:rsidRPr="00247C49">
        <w:rPr>
          <w:rFonts w:cs="Arial"/>
          <w:b/>
        </w:rPr>
        <w:t>Policy</w:t>
      </w:r>
    </w:p>
    <w:p w14:paraId="2D39C7D2" w14:textId="77777777" w:rsidR="009F1DAC" w:rsidRPr="00247C49" w:rsidRDefault="009F1DAC" w:rsidP="00595625">
      <w:pPr>
        <w:spacing w:after="0"/>
        <w:rPr>
          <w:rFonts w:cs="Arial"/>
        </w:rPr>
      </w:pPr>
    </w:p>
    <w:p w14:paraId="1CB39EC7" w14:textId="77777777" w:rsidR="00275CF2" w:rsidRDefault="00D22F77" w:rsidP="00595625">
      <w:pPr>
        <w:spacing w:after="0"/>
        <w:rPr>
          <w:rFonts w:cs="Arial"/>
        </w:rPr>
      </w:pPr>
      <w:r>
        <w:rPr>
          <w:rFonts w:cs="Arial"/>
        </w:rPr>
        <w:t>D</w:t>
      </w:r>
      <w:r w:rsidR="00181C69" w:rsidRPr="00247C49">
        <w:rPr>
          <w:rFonts w:cs="Arial"/>
        </w:rPr>
        <w:t>irect or indirect s</w:t>
      </w:r>
      <w:r w:rsidR="009F1DAC" w:rsidRPr="00247C49">
        <w:rPr>
          <w:rFonts w:cs="Arial"/>
        </w:rPr>
        <w:t>olicitation of donat</w:t>
      </w:r>
      <w:r w:rsidR="00181C69" w:rsidRPr="00247C49">
        <w:rPr>
          <w:rFonts w:cs="Arial"/>
        </w:rPr>
        <w:t>ions is</w:t>
      </w:r>
      <w:r w:rsidR="009F1DAC" w:rsidRPr="00247C49">
        <w:rPr>
          <w:rFonts w:cs="Arial"/>
        </w:rPr>
        <w:t xml:space="preserve"> permitted at an event on IAIA property </w:t>
      </w:r>
      <w:r>
        <w:rPr>
          <w:rFonts w:cs="Arial"/>
        </w:rPr>
        <w:t>only when</w:t>
      </w:r>
      <w:r w:rsidR="009F1DAC" w:rsidRPr="00247C49">
        <w:rPr>
          <w:rFonts w:cs="Arial"/>
        </w:rPr>
        <w:t xml:space="preserve"> the invited audience </w:t>
      </w:r>
      <w:r>
        <w:rPr>
          <w:rFonts w:cs="Arial"/>
        </w:rPr>
        <w:t>has</w:t>
      </w:r>
      <w:r w:rsidR="009F1DAC" w:rsidRPr="00247C49">
        <w:rPr>
          <w:rFonts w:cs="Arial"/>
        </w:rPr>
        <w:t xml:space="preserve"> an explicit understanding that the purpose of the event i</w:t>
      </w:r>
      <w:r w:rsidR="00275CF2">
        <w:rPr>
          <w:rFonts w:cs="Arial"/>
        </w:rPr>
        <w:t>s to raise donations for IAIA.</w:t>
      </w:r>
    </w:p>
    <w:p w14:paraId="31DF09D1" w14:textId="77777777" w:rsidR="00275CF2" w:rsidRDefault="00275CF2" w:rsidP="00595625">
      <w:pPr>
        <w:spacing w:after="0"/>
        <w:rPr>
          <w:rFonts w:cs="Arial"/>
        </w:rPr>
      </w:pPr>
    </w:p>
    <w:p w14:paraId="54886261" w14:textId="77777777" w:rsidR="00275CF2" w:rsidRDefault="00181C69" w:rsidP="00595625">
      <w:pPr>
        <w:spacing w:after="0"/>
        <w:rPr>
          <w:rFonts w:cs="Arial"/>
        </w:rPr>
      </w:pPr>
      <w:r w:rsidRPr="00275CF2">
        <w:rPr>
          <w:rFonts w:cs="Arial"/>
        </w:rPr>
        <w:t>O</w:t>
      </w:r>
      <w:r w:rsidR="00275CF2">
        <w:rPr>
          <w:rFonts w:cs="Arial"/>
        </w:rPr>
        <w:t>ther o</w:t>
      </w:r>
      <w:r w:rsidRPr="00275CF2">
        <w:rPr>
          <w:rFonts w:cs="Arial"/>
        </w:rPr>
        <w:t>rganizations or groups using IAIA facilities must adhere to this policy</w:t>
      </w:r>
      <w:r w:rsidR="00275CF2">
        <w:rPr>
          <w:rFonts w:cs="Arial"/>
        </w:rPr>
        <w:t>:  they may not solicit donations where the invited audience does not have an explicit understanding that the purpose of the event is to raise donations.   In the case of fundraising events conducted by other groups on IAIA property, the groups must inform their audiences that the donated funds will not benefit IAIA.</w:t>
      </w:r>
    </w:p>
    <w:p w14:paraId="0F32F9B5" w14:textId="77777777" w:rsidR="0094520C" w:rsidRDefault="0094520C" w:rsidP="00595625">
      <w:pPr>
        <w:spacing w:after="0"/>
        <w:rPr>
          <w:rFonts w:cs="Arial"/>
        </w:rPr>
      </w:pPr>
    </w:p>
    <w:p w14:paraId="31A25FC2" w14:textId="77777777" w:rsidR="0094520C" w:rsidRDefault="0094520C" w:rsidP="00595625">
      <w:pPr>
        <w:spacing w:after="0"/>
        <w:rPr>
          <w:rFonts w:cs="Arial"/>
        </w:rPr>
      </w:pPr>
      <w:r>
        <w:rPr>
          <w:rFonts w:cs="Arial"/>
        </w:rPr>
        <w:t>IAIA events held at properties not owned or administered by IAIA are subject to the facility use and fundraising guidelines of those properties.</w:t>
      </w:r>
    </w:p>
    <w:p w14:paraId="3D40687F" w14:textId="77777777" w:rsidR="00275CF2" w:rsidRDefault="00275CF2" w:rsidP="00595625">
      <w:pPr>
        <w:spacing w:after="0"/>
        <w:rPr>
          <w:rFonts w:cs="Arial"/>
        </w:rPr>
      </w:pPr>
    </w:p>
    <w:p w14:paraId="6AF5B3DD" w14:textId="77777777" w:rsidR="009F1DAC" w:rsidRPr="00247C49" w:rsidRDefault="00D22F77" w:rsidP="00595625">
      <w:pPr>
        <w:spacing w:after="0"/>
        <w:rPr>
          <w:rFonts w:cs="Arial"/>
        </w:rPr>
      </w:pPr>
      <w:r>
        <w:rPr>
          <w:rFonts w:cs="Arial"/>
        </w:rPr>
        <w:t xml:space="preserve">Examples of events that are include or not included in this policy </w:t>
      </w:r>
      <w:r w:rsidR="009F1DAC" w:rsidRPr="00247C49">
        <w:rPr>
          <w:rFonts w:cs="Arial"/>
        </w:rPr>
        <w:t xml:space="preserve">are listed </w:t>
      </w:r>
      <w:r w:rsidR="005E6828">
        <w:rPr>
          <w:rFonts w:cs="Arial"/>
        </w:rPr>
        <w:t>in section 5</w:t>
      </w:r>
      <w:r w:rsidR="009F1DAC" w:rsidRPr="00247C49">
        <w:rPr>
          <w:rFonts w:cs="Arial"/>
        </w:rPr>
        <w:t xml:space="preserve"> below.</w:t>
      </w:r>
    </w:p>
    <w:p w14:paraId="6F021C6B" w14:textId="77777777" w:rsidR="00D85F09" w:rsidRPr="00247C49" w:rsidRDefault="005E6828" w:rsidP="00D85F09">
      <w:pPr>
        <w:spacing w:after="0"/>
        <w:rPr>
          <w:rFonts w:cs="Arial"/>
          <w:b/>
        </w:rPr>
      </w:pPr>
      <w:r>
        <w:rPr>
          <w:rFonts w:cs="Arial"/>
          <w:b/>
        </w:rPr>
        <w:lastRenderedPageBreak/>
        <w:t>4</w:t>
      </w:r>
      <w:r w:rsidR="009F1DAC" w:rsidRPr="00247C49">
        <w:rPr>
          <w:rFonts w:cs="Arial"/>
          <w:b/>
        </w:rPr>
        <w:t xml:space="preserve">. </w:t>
      </w:r>
      <w:r w:rsidR="007C0DCE" w:rsidRPr="00247C49">
        <w:rPr>
          <w:rFonts w:cs="Arial"/>
          <w:b/>
        </w:rPr>
        <w:t>Definitions</w:t>
      </w:r>
      <w:r w:rsidR="009F1DAC" w:rsidRPr="00247C49">
        <w:rPr>
          <w:rFonts w:cs="Arial"/>
          <w:b/>
        </w:rPr>
        <w:t xml:space="preserve"> (for the purposes of this policy)</w:t>
      </w:r>
    </w:p>
    <w:p w14:paraId="3F092DE1" w14:textId="77777777" w:rsidR="00D85F09" w:rsidRPr="00247C49" w:rsidRDefault="00D85F09" w:rsidP="00D85F09">
      <w:pPr>
        <w:spacing w:after="0"/>
        <w:rPr>
          <w:rFonts w:cs="Arial"/>
        </w:rPr>
      </w:pPr>
    </w:p>
    <w:p w14:paraId="5E31F810" w14:textId="77777777" w:rsidR="00D85F09" w:rsidRPr="00247C49" w:rsidRDefault="00D85F09" w:rsidP="00D85F09">
      <w:pPr>
        <w:spacing w:after="0"/>
        <w:rPr>
          <w:rFonts w:cs="Arial"/>
        </w:rPr>
      </w:pPr>
      <w:r w:rsidRPr="00247C49">
        <w:rPr>
          <w:rFonts w:cs="Arial"/>
          <w:u w:val="single"/>
        </w:rPr>
        <w:t>Solicitation</w:t>
      </w:r>
      <w:r w:rsidRPr="00247C49">
        <w:rPr>
          <w:rFonts w:cs="Arial"/>
        </w:rPr>
        <w:t xml:space="preserve">:  the act of approaching an individual, business, corporation, group, or foundation with a request for a </w:t>
      </w:r>
      <w:r w:rsidR="00275CF2">
        <w:rPr>
          <w:rFonts w:cs="Arial"/>
        </w:rPr>
        <w:t xml:space="preserve">financial </w:t>
      </w:r>
      <w:r w:rsidR="00181C69" w:rsidRPr="00247C49">
        <w:rPr>
          <w:rFonts w:cs="Arial"/>
        </w:rPr>
        <w:t>donation.</w:t>
      </w:r>
      <w:r w:rsidR="009F1DAC" w:rsidRPr="00247C49">
        <w:rPr>
          <w:rFonts w:cs="Arial"/>
        </w:rPr>
        <w:t xml:space="preserve"> </w:t>
      </w:r>
      <w:r w:rsidR="00020BB2">
        <w:rPr>
          <w:rFonts w:cs="Arial"/>
        </w:rPr>
        <w:t xml:space="preserve"> A direct solicitation would take the verbal or written form of something such as “please make a donation to IAIA for . . .”  An indirect solicitation would take the verbal or written form</w:t>
      </w:r>
      <w:r w:rsidR="00275CF2">
        <w:rPr>
          <w:rFonts w:cs="Arial"/>
        </w:rPr>
        <w:t xml:space="preserve"> of something such as “We rely</w:t>
      </w:r>
      <w:r w:rsidR="00020BB2">
        <w:rPr>
          <w:rFonts w:cs="Arial"/>
        </w:rPr>
        <w:t xml:space="preserve"> on contributions to help IAIA . . .”</w:t>
      </w:r>
    </w:p>
    <w:p w14:paraId="3E066A29" w14:textId="77777777" w:rsidR="00D85F09" w:rsidRPr="00247C49" w:rsidRDefault="00D85F09" w:rsidP="00D85F09">
      <w:pPr>
        <w:spacing w:after="0"/>
        <w:rPr>
          <w:rFonts w:cs="Arial"/>
        </w:rPr>
      </w:pPr>
    </w:p>
    <w:p w14:paraId="17237366" w14:textId="77777777" w:rsidR="009F1DAC" w:rsidRPr="00247C49" w:rsidRDefault="009F1DAC" w:rsidP="009F1DAC">
      <w:pPr>
        <w:spacing w:after="0"/>
        <w:rPr>
          <w:rFonts w:cs="Arial"/>
        </w:rPr>
      </w:pPr>
      <w:r w:rsidRPr="00247C49">
        <w:rPr>
          <w:rFonts w:cs="Arial"/>
          <w:u w:val="single"/>
        </w:rPr>
        <w:t>Event</w:t>
      </w:r>
      <w:r w:rsidRPr="00247C49">
        <w:rPr>
          <w:rFonts w:cs="Arial"/>
        </w:rPr>
        <w:t xml:space="preserve">:  any </w:t>
      </w:r>
      <w:r w:rsidR="00181C69" w:rsidRPr="00247C49">
        <w:rPr>
          <w:rFonts w:cs="Arial"/>
        </w:rPr>
        <w:t>gathering to which an</w:t>
      </w:r>
      <w:r w:rsidRPr="00247C49">
        <w:rPr>
          <w:rFonts w:cs="Arial"/>
        </w:rPr>
        <w:t xml:space="preserve"> aud</w:t>
      </w:r>
      <w:r w:rsidR="0094520C">
        <w:rPr>
          <w:rFonts w:cs="Arial"/>
        </w:rPr>
        <w:t>ience has been invited</w:t>
      </w:r>
      <w:r w:rsidR="00181C69" w:rsidRPr="00247C49">
        <w:rPr>
          <w:rFonts w:cs="Arial"/>
        </w:rPr>
        <w:t>.  The event may be free (no paid admission) or ticketed (paid admission).  Examples of such events</w:t>
      </w:r>
      <w:r w:rsidRPr="00247C49">
        <w:rPr>
          <w:rFonts w:cs="Arial"/>
        </w:rPr>
        <w:t xml:space="preserve"> may incl</w:t>
      </w:r>
      <w:r w:rsidR="00181C69" w:rsidRPr="00247C49">
        <w:rPr>
          <w:rFonts w:cs="Arial"/>
        </w:rPr>
        <w:t xml:space="preserve">ude:  lectures, </w:t>
      </w:r>
      <w:r w:rsidR="00F6672E">
        <w:rPr>
          <w:rFonts w:cs="Arial"/>
        </w:rPr>
        <w:t xml:space="preserve">symposia, </w:t>
      </w:r>
      <w:r w:rsidR="00181C69" w:rsidRPr="00247C49">
        <w:rPr>
          <w:rFonts w:cs="Arial"/>
        </w:rPr>
        <w:t xml:space="preserve">performances, screenings, dances, </w:t>
      </w:r>
      <w:r w:rsidRPr="00247C49">
        <w:rPr>
          <w:rFonts w:cs="Arial"/>
        </w:rPr>
        <w:t xml:space="preserve">etc.  </w:t>
      </w:r>
    </w:p>
    <w:p w14:paraId="460ED4FD" w14:textId="77777777" w:rsidR="009F1DAC" w:rsidRPr="00247C49" w:rsidRDefault="009F1DAC" w:rsidP="009F1DAC">
      <w:pPr>
        <w:spacing w:after="0"/>
        <w:rPr>
          <w:rFonts w:cs="Arial"/>
        </w:rPr>
      </w:pPr>
    </w:p>
    <w:p w14:paraId="420DCBF2" w14:textId="77777777" w:rsidR="00D85F09" w:rsidRPr="00247C49" w:rsidRDefault="00181C69" w:rsidP="00D85F09">
      <w:pPr>
        <w:spacing w:after="0"/>
        <w:rPr>
          <w:rFonts w:cs="Arial"/>
        </w:rPr>
      </w:pPr>
      <w:r w:rsidRPr="00247C49">
        <w:rPr>
          <w:rFonts w:cs="Arial"/>
          <w:u w:val="single"/>
        </w:rPr>
        <w:t>Audience</w:t>
      </w:r>
      <w:r w:rsidR="00D85F09" w:rsidRPr="00247C49">
        <w:rPr>
          <w:rFonts w:cs="Arial"/>
        </w:rPr>
        <w:t>:  alumni, parents, IAIA friends, Tribal communities, businesses, corporations, foundations, government e</w:t>
      </w:r>
      <w:r w:rsidRPr="00247C49">
        <w:rPr>
          <w:rFonts w:cs="Arial"/>
        </w:rPr>
        <w:t>ntities,</w:t>
      </w:r>
      <w:r w:rsidR="0094520C">
        <w:rPr>
          <w:rFonts w:cs="Arial"/>
        </w:rPr>
        <w:t xml:space="preserve"> and the general public</w:t>
      </w:r>
      <w:r w:rsidRPr="00247C49">
        <w:rPr>
          <w:rFonts w:cs="Arial"/>
        </w:rPr>
        <w:t>.</w:t>
      </w:r>
    </w:p>
    <w:p w14:paraId="2655DB2E" w14:textId="77777777" w:rsidR="00247C49" w:rsidRPr="00247C49" w:rsidRDefault="00247C49" w:rsidP="00D85F09">
      <w:pPr>
        <w:spacing w:after="0"/>
        <w:rPr>
          <w:rFonts w:cs="Arial"/>
        </w:rPr>
      </w:pPr>
    </w:p>
    <w:p w14:paraId="46C64C80" w14:textId="77777777" w:rsidR="00247C49" w:rsidRPr="00247C49" w:rsidRDefault="00247C49" w:rsidP="00D85F09">
      <w:pPr>
        <w:spacing w:after="0"/>
        <w:rPr>
          <w:rFonts w:cs="Arial"/>
        </w:rPr>
      </w:pPr>
      <w:r w:rsidRPr="00247C49">
        <w:rPr>
          <w:rFonts w:cs="Arial"/>
          <w:u w:val="single"/>
        </w:rPr>
        <w:t>IAIA Property</w:t>
      </w:r>
      <w:r w:rsidRPr="00247C49">
        <w:rPr>
          <w:rFonts w:cs="Arial"/>
        </w:rPr>
        <w:t>:  the IAIA campus at 83 Avan Nu Po Road (Santa Fe), the IAIA Museum at 108 Cathedral Place (Santa Fe),</w:t>
      </w:r>
      <w:r>
        <w:rPr>
          <w:rFonts w:cs="Arial"/>
        </w:rPr>
        <w:t xml:space="preserve"> and any other physical or virtual facility where IAIA conduc</w:t>
      </w:r>
      <w:r w:rsidR="002437B1">
        <w:rPr>
          <w:rFonts w:cs="Arial"/>
        </w:rPr>
        <w:t xml:space="preserve">ts </w:t>
      </w:r>
      <w:r>
        <w:rPr>
          <w:rFonts w:cs="Arial"/>
        </w:rPr>
        <w:t>programming.</w:t>
      </w:r>
    </w:p>
    <w:p w14:paraId="4071ADB5" w14:textId="77777777" w:rsidR="00A17BF0" w:rsidRDefault="00A17BF0" w:rsidP="00D85F09">
      <w:pPr>
        <w:spacing w:after="0"/>
        <w:rPr>
          <w:rFonts w:cs="Arial"/>
        </w:rPr>
      </w:pPr>
    </w:p>
    <w:p w14:paraId="6421BF1C" w14:textId="77777777" w:rsidR="007C0DCE" w:rsidRPr="00247C49" w:rsidRDefault="007C0DCE" w:rsidP="00D85F09">
      <w:pPr>
        <w:spacing w:after="0"/>
        <w:rPr>
          <w:rFonts w:cs="Arial"/>
        </w:rPr>
      </w:pPr>
    </w:p>
    <w:p w14:paraId="7DAD8483" w14:textId="77777777" w:rsidR="00D85F09" w:rsidRPr="00247C49" w:rsidRDefault="005E6828" w:rsidP="00D85F09">
      <w:pPr>
        <w:spacing w:after="0"/>
        <w:rPr>
          <w:rFonts w:cs="Arial"/>
          <w:b/>
        </w:rPr>
      </w:pPr>
      <w:r>
        <w:rPr>
          <w:rFonts w:cs="Arial"/>
          <w:b/>
        </w:rPr>
        <w:t>5</w:t>
      </w:r>
      <w:r w:rsidR="00A17BF0" w:rsidRPr="00247C49">
        <w:rPr>
          <w:rFonts w:cs="Arial"/>
          <w:b/>
        </w:rPr>
        <w:t xml:space="preserve">. </w:t>
      </w:r>
      <w:r w:rsidR="007C0DCE">
        <w:rPr>
          <w:rFonts w:cs="Arial"/>
          <w:b/>
        </w:rPr>
        <w:t>Examples</w:t>
      </w:r>
    </w:p>
    <w:p w14:paraId="04C192A6" w14:textId="77777777" w:rsidR="00BD6B5B" w:rsidRDefault="00BD6B5B" w:rsidP="00D85F09">
      <w:pPr>
        <w:spacing w:after="0"/>
        <w:rPr>
          <w:rFonts w:cs="Arial"/>
        </w:rPr>
      </w:pPr>
    </w:p>
    <w:p w14:paraId="1123A3ED" w14:textId="77777777" w:rsidR="007C0DCE" w:rsidRDefault="007C0DCE" w:rsidP="007C0DCE">
      <w:pPr>
        <w:spacing w:after="0"/>
        <w:rPr>
          <w:rFonts w:cs="Arial"/>
        </w:rPr>
      </w:pPr>
      <w:r w:rsidRPr="002437B1">
        <w:rPr>
          <w:rFonts w:cs="Arial"/>
        </w:rPr>
        <w:t>The following examples are</w:t>
      </w:r>
      <w:r>
        <w:rPr>
          <w:rFonts w:cs="Arial"/>
        </w:rPr>
        <w:t xml:space="preserve"> types of events that </w:t>
      </w:r>
      <w:r w:rsidRPr="00F6672E">
        <w:rPr>
          <w:rFonts w:cs="Arial"/>
          <w:u w:val="single"/>
        </w:rPr>
        <w:t>are included</w:t>
      </w:r>
      <w:r>
        <w:rPr>
          <w:rFonts w:cs="Arial"/>
        </w:rPr>
        <w:t xml:space="preserve"> in </w:t>
      </w:r>
      <w:r w:rsidRPr="002437B1">
        <w:rPr>
          <w:rFonts w:cs="Arial"/>
        </w:rPr>
        <w:t xml:space="preserve">this policy.  This is by no means a comprehensive list.  The Office of Institutional Advancement should be consulted if there is a question about </w:t>
      </w:r>
      <w:r>
        <w:rPr>
          <w:rFonts w:cs="Arial"/>
        </w:rPr>
        <w:t xml:space="preserve">a </w:t>
      </w:r>
      <w:r w:rsidRPr="002437B1">
        <w:rPr>
          <w:rFonts w:cs="Arial"/>
        </w:rPr>
        <w:t>proposed event</w:t>
      </w:r>
      <w:r>
        <w:rPr>
          <w:rFonts w:cs="Arial"/>
        </w:rPr>
        <w:t>.</w:t>
      </w:r>
    </w:p>
    <w:p w14:paraId="1F5488BA" w14:textId="77777777" w:rsidR="007C0DCE" w:rsidRDefault="007C0DCE" w:rsidP="007C0DCE">
      <w:pPr>
        <w:spacing w:after="0"/>
        <w:rPr>
          <w:rFonts w:cs="Arial"/>
        </w:rPr>
      </w:pPr>
    </w:p>
    <w:p w14:paraId="090E01F1" w14:textId="77777777" w:rsidR="007C0DCE" w:rsidRPr="002437B1" w:rsidRDefault="007C0DCE" w:rsidP="007C0DCE">
      <w:pPr>
        <w:pStyle w:val="ListParagraph"/>
        <w:numPr>
          <w:ilvl w:val="0"/>
          <w:numId w:val="11"/>
        </w:numPr>
        <w:spacing w:after="0"/>
        <w:rPr>
          <w:rFonts w:cs="Arial"/>
        </w:rPr>
      </w:pPr>
      <w:r w:rsidRPr="002437B1">
        <w:rPr>
          <w:rFonts w:cs="Arial"/>
        </w:rPr>
        <w:t>A free lecture in the Auditorium sponsored by the Indigenous Li</w:t>
      </w:r>
      <w:r w:rsidR="00F6672E">
        <w:rPr>
          <w:rFonts w:cs="Arial"/>
        </w:rPr>
        <w:t>beral Studies D</w:t>
      </w:r>
      <w:r w:rsidRPr="002437B1">
        <w:rPr>
          <w:rFonts w:cs="Arial"/>
        </w:rPr>
        <w:t>epartment to which the community has been invited.</w:t>
      </w:r>
      <w:r w:rsidR="00275CF2">
        <w:rPr>
          <w:rFonts w:cs="Arial"/>
        </w:rPr>
        <w:t xml:space="preserve">  No solicitations at the event are permitted.</w:t>
      </w:r>
    </w:p>
    <w:p w14:paraId="796D4121" w14:textId="77777777" w:rsidR="007C0DCE" w:rsidRDefault="007C0DCE" w:rsidP="007C0DCE">
      <w:pPr>
        <w:spacing w:after="0"/>
        <w:rPr>
          <w:rFonts w:cs="Arial"/>
        </w:rPr>
      </w:pPr>
    </w:p>
    <w:p w14:paraId="6F68933C" w14:textId="77777777" w:rsidR="007C0DCE" w:rsidRPr="002437B1" w:rsidRDefault="007C0DCE" w:rsidP="007C0DCE">
      <w:pPr>
        <w:pStyle w:val="ListParagraph"/>
        <w:numPr>
          <w:ilvl w:val="0"/>
          <w:numId w:val="11"/>
        </w:numPr>
        <w:spacing w:after="0"/>
        <w:rPr>
          <w:rFonts w:cs="Arial"/>
        </w:rPr>
      </w:pPr>
      <w:r w:rsidRPr="002437B1">
        <w:rPr>
          <w:rFonts w:cs="Arial"/>
        </w:rPr>
        <w:t>A screening of a new film in the Digital Dome for which there is a $5.00 admission fee to the general public.</w:t>
      </w:r>
      <w:r w:rsidR="00275CF2">
        <w:rPr>
          <w:rFonts w:cs="Arial"/>
        </w:rPr>
        <w:t xml:space="preserve">  Aside from the admission fee, no other solicitations are permitted.</w:t>
      </w:r>
    </w:p>
    <w:p w14:paraId="19E55591" w14:textId="77777777" w:rsidR="007C0DCE" w:rsidRDefault="007C0DCE" w:rsidP="007C0DCE">
      <w:pPr>
        <w:spacing w:after="0"/>
        <w:rPr>
          <w:rFonts w:cs="Arial"/>
        </w:rPr>
      </w:pPr>
    </w:p>
    <w:p w14:paraId="0E105D64" w14:textId="77777777" w:rsidR="007C0DCE" w:rsidRPr="002437B1" w:rsidRDefault="007C0DCE" w:rsidP="007C0DCE">
      <w:pPr>
        <w:pStyle w:val="ListParagraph"/>
        <w:numPr>
          <w:ilvl w:val="0"/>
          <w:numId w:val="11"/>
        </w:numPr>
        <w:spacing w:after="0"/>
        <w:rPr>
          <w:rFonts w:cs="Arial"/>
        </w:rPr>
      </w:pPr>
      <w:r w:rsidRPr="002437B1">
        <w:rPr>
          <w:rFonts w:cs="Arial"/>
        </w:rPr>
        <w:t xml:space="preserve">A free symposium of artists in the Museum’s </w:t>
      </w:r>
      <w:r w:rsidR="00F6672E">
        <w:rPr>
          <w:rFonts w:cs="Arial"/>
        </w:rPr>
        <w:t>Allan Houser Art P</w:t>
      </w:r>
      <w:r w:rsidRPr="002437B1">
        <w:rPr>
          <w:rFonts w:cs="Arial"/>
        </w:rPr>
        <w:t>ark that is open to the public.</w:t>
      </w:r>
      <w:r w:rsidR="00275CF2">
        <w:rPr>
          <w:rFonts w:cs="Arial"/>
        </w:rPr>
        <w:t xml:space="preserve">  Other than Museum admission fee (if applicable), no other solicitations are permitted.</w:t>
      </w:r>
    </w:p>
    <w:p w14:paraId="24DB8445" w14:textId="77777777" w:rsidR="007C0DCE" w:rsidRDefault="007C0DCE" w:rsidP="007C0DCE">
      <w:pPr>
        <w:spacing w:after="0"/>
        <w:rPr>
          <w:rFonts w:cs="Arial"/>
        </w:rPr>
      </w:pPr>
    </w:p>
    <w:p w14:paraId="146E14B9" w14:textId="77777777" w:rsidR="007C0DCE" w:rsidRPr="002437B1" w:rsidRDefault="007C0DCE" w:rsidP="007C0DCE">
      <w:pPr>
        <w:pStyle w:val="ListParagraph"/>
        <w:numPr>
          <w:ilvl w:val="0"/>
          <w:numId w:val="11"/>
        </w:numPr>
        <w:spacing w:after="0"/>
        <w:rPr>
          <w:rFonts w:cs="Arial"/>
        </w:rPr>
      </w:pPr>
      <w:r w:rsidRPr="002437B1">
        <w:rPr>
          <w:rFonts w:cs="Arial"/>
        </w:rPr>
        <w:t>A reading at a Canyon Road gallery presented by the Creative Writing Department to which the public has been invited.</w:t>
      </w:r>
      <w:r w:rsidR="00275CF2">
        <w:rPr>
          <w:rFonts w:cs="Arial"/>
        </w:rPr>
        <w:t xml:space="preserve">  No solicitations are permitted.</w:t>
      </w:r>
    </w:p>
    <w:p w14:paraId="5E1DC5E3" w14:textId="77777777" w:rsidR="007C0DCE" w:rsidRDefault="007C0DCE" w:rsidP="007C0DCE">
      <w:pPr>
        <w:spacing w:after="0"/>
        <w:rPr>
          <w:rFonts w:cs="Arial"/>
        </w:rPr>
      </w:pPr>
    </w:p>
    <w:p w14:paraId="373D76A6" w14:textId="77777777" w:rsidR="007C0DCE" w:rsidRDefault="007C0DCE" w:rsidP="007C0DCE">
      <w:pPr>
        <w:pStyle w:val="ListParagraph"/>
        <w:numPr>
          <w:ilvl w:val="0"/>
          <w:numId w:val="11"/>
        </w:numPr>
        <w:spacing w:after="0"/>
        <w:rPr>
          <w:rFonts w:cs="Arial"/>
        </w:rPr>
      </w:pPr>
      <w:r w:rsidRPr="002437B1">
        <w:rPr>
          <w:rFonts w:cs="Arial"/>
        </w:rPr>
        <w:t>A roundtable discussion of sustainable farming trends sponsored by the Land Grant Programs department to which NM Tribes have been invited.</w:t>
      </w:r>
      <w:r w:rsidR="00275CF2">
        <w:rPr>
          <w:rFonts w:cs="Arial"/>
        </w:rPr>
        <w:t xml:space="preserve">  No solicitations are permitted.</w:t>
      </w:r>
    </w:p>
    <w:p w14:paraId="4BFD8855" w14:textId="77777777" w:rsidR="00275CF2" w:rsidRPr="00275CF2" w:rsidRDefault="00275CF2" w:rsidP="00275CF2">
      <w:pPr>
        <w:pStyle w:val="ListParagraph"/>
        <w:rPr>
          <w:rFonts w:cs="Arial"/>
        </w:rPr>
      </w:pPr>
    </w:p>
    <w:p w14:paraId="58641066" w14:textId="77777777" w:rsidR="00275CF2" w:rsidRPr="002437B1" w:rsidRDefault="00275CF2" w:rsidP="007C0DCE">
      <w:pPr>
        <w:pStyle w:val="ListParagraph"/>
        <w:numPr>
          <w:ilvl w:val="0"/>
          <w:numId w:val="11"/>
        </w:numPr>
        <w:spacing w:after="0"/>
        <w:rPr>
          <w:rFonts w:cs="Arial"/>
        </w:rPr>
      </w:pPr>
      <w:r>
        <w:rPr>
          <w:rFonts w:cs="Arial"/>
        </w:rPr>
        <w:t>If an audience member at any event or activity included in this policy expresses the wish to make a donation to IAIA, the event host must either direct the audience member to remittance envelopes (if available) or to the Advancement Office.</w:t>
      </w:r>
    </w:p>
    <w:p w14:paraId="11D60BFF" w14:textId="77777777" w:rsidR="007C0DCE" w:rsidRPr="00247C49" w:rsidRDefault="007C0DCE" w:rsidP="007C0DCE">
      <w:pPr>
        <w:spacing w:after="0"/>
        <w:rPr>
          <w:rFonts w:cs="Arial"/>
        </w:rPr>
      </w:pPr>
    </w:p>
    <w:p w14:paraId="5B97018A" w14:textId="77777777" w:rsidR="002437B1" w:rsidRDefault="002437B1" w:rsidP="00D85F09">
      <w:pPr>
        <w:spacing w:after="0"/>
        <w:rPr>
          <w:rFonts w:cs="Arial"/>
        </w:rPr>
      </w:pPr>
      <w:r>
        <w:rPr>
          <w:rFonts w:cs="Arial"/>
        </w:rPr>
        <w:t xml:space="preserve">The following examples are types of events </w:t>
      </w:r>
      <w:r w:rsidR="00812765">
        <w:rPr>
          <w:rFonts w:cs="Arial"/>
        </w:rPr>
        <w:t xml:space="preserve">or activities </w:t>
      </w:r>
      <w:r>
        <w:rPr>
          <w:rFonts w:cs="Arial"/>
        </w:rPr>
        <w:t xml:space="preserve">that </w:t>
      </w:r>
      <w:r w:rsidRPr="00F6672E">
        <w:rPr>
          <w:rFonts w:cs="Arial"/>
          <w:u w:val="single"/>
        </w:rPr>
        <w:t>are exempt</w:t>
      </w:r>
      <w:r>
        <w:rPr>
          <w:rFonts w:cs="Arial"/>
        </w:rPr>
        <w:t xml:space="preserve"> from this policy.  This is by no means a comprehensive list.  The Office of Institutional Advancement should be consulted if there is a question about the exemption of a proposed event.</w:t>
      </w:r>
    </w:p>
    <w:p w14:paraId="4B22E50C" w14:textId="77777777" w:rsidR="002437B1" w:rsidRPr="00247C49" w:rsidRDefault="002437B1" w:rsidP="00D85F09">
      <w:pPr>
        <w:spacing w:after="0"/>
        <w:rPr>
          <w:rFonts w:cs="Arial"/>
        </w:rPr>
      </w:pPr>
    </w:p>
    <w:p w14:paraId="14B9D601" w14:textId="77777777" w:rsidR="00A17BF0" w:rsidRPr="002437B1" w:rsidRDefault="00A17BF0" w:rsidP="002437B1">
      <w:pPr>
        <w:pStyle w:val="ListParagraph"/>
        <w:numPr>
          <w:ilvl w:val="0"/>
          <w:numId w:val="12"/>
        </w:numPr>
        <w:spacing w:after="0"/>
        <w:rPr>
          <w:rFonts w:cs="Arial"/>
        </w:rPr>
      </w:pPr>
      <w:r w:rsidRPr="002437B1">
        <w:rPr>
          <w:rFonts w:cs="Arial"/>
        </w:rPr>
        <w:lastRenderedPageBreak/>
        <w:t>Fundraising events to which the audience is invited with the express understanding that the admission price or any amount given during the course of the event will be considered a donation to IAIA.</w:t>
      </w:r>
    </w:p>
    <w:p w14:paraId="38539345" w14:textId="77777777" w:rsidR="00A17BF0" w:rsidRPr="00247C49" w:rsidRDefault="00A17BF0" w:rsidP="00D85F09">
      <w:pPr>
        <w:spacing w:after="0"/>
        <w:rPr>
          <w:rFonts w:cs="Arial"/>
        </w:rPr>
      </w:pPr>
    </w:p>
    <w:p w14:paraId="79458CAA" w14:textId="77777777" w:rsidR="00A17BF0" w:rsidRDefault="00A17BF0" w:rsidP="002437B1">
      <w:pPr>
        <w:pStyle w:val="ListParagraph"/>
        <w:numPr>
          <w:ilvl w:val="0"/>
          <w:numId w:val="12"/>
        </w:numPr>
        <w:spacing w:after="0"/>
        <w:rPr>
          <w:rFonts w:cs="Arial"/>
        </w:rPr>
      </w:pPr>
      <w:r w:rsidRPr="002437B1">
        <w:rPr>
          <w:rFonts w:cs="Arial"/>
        </w:rPr>
        <w:t>Events at which items may</w:t>
      </w:r>
      <w:r w:rsidR="0094520C">
        <w:rPr>
          <w:rFonts w:cs="Arial"/>
        </w:rPr>
        <w:t xml:space="preserve"> be available for voluntary purchase by</w:t>
      </w:r>
      <w:r w:rsidRPr="002437B1">
        <w:rPr>
          <w:rFonts w:cs="Arial"/>
        </w:rPr>
        <w:t xml:space="preserve"> the invited audience.  </w:t>
      </w:r>
      <w:r w:rsidR="0094520C">
        <w:rPr>
          <w:rFonts w:cs="Arial"/>
        </w:rPr>
        <w:t>Examples may include art sales</w:t>
      </w:r>
      <w:r w:rsidRPr="002437B1">
        <w:rPr>
          <w:rFonts w:cs="Arial"/>
        </w:rPr>
        <w:t xml:space="preserve">, </w:t>
      </w:r>
      <w:r w:rsidR="0094520C">
        <w:rPr>
          <w:rFonts w:cs="Arial"/>
        </w:rPr>
        <w:t>food</w:t>
      </w:r>
      <w:r w:rsidRPr="002437B1">
        <w:rPr>
          <w:rFonts w:cs="Arial"/>
        </w:rPr>
        <w:t xml:space="preserve"> sale</w:t>
      </w:r>
      <w:r w:rsidR="0094520C">
        <w:rPr>
          <w:rFonts w:cs="Arial"/>
        </w:rPr>
        <w:t>s</w:t>
      </w:r>
      <w:r w:rsidRPr="002437B1">
        <w:rPr>
          <w:rFonts w:cs="Arial"/>
        </w:rPr>
        <w:t>, the Pow Wow, etc.</w:t>
      </w:r>
    </w:p>
    <w:p w14:paraId="7C324459" w14:textId="77777777" w:rsidR="00812765" w:rsidRPr="00812765" w:rsidRDefault="00812765" w:rsidP="00812765">
      <w:pPr>
        <w:pStyle w:val="ListParagraph"/>
        <w:rPr>
          <w:rFonts w:cs="Arial"/>
        </w:rPr>
      </w:pPr>
    </w:p>
    <w:p w14:paraId="2F750E6F" w14:textId="77777777" w:rsidR="00275CF2" w:rsidRPr="00275CF2" w:rsidRDefault="00812765" w:rsidP="00275CF2">
      <w:pPr>
        <w:pStyle w:val="ListParagraph"/>
        <w:numPr>
          <w:ilvl w:val="0"/>
          <w:numId w:val="12"/>
        </w:numPr>
        <w:spacing w:after="0"/>
        <w:rPr>
          <w:rFonts w:cs="Arial"/>
        </w:rPr>
      </w:pPr>
      <w:r>
        <w:rPr>
          <w:rFonts w:cs="Arial"/>
        </w:rPr>
        <w:t xml:space="preserve">The placement of general IAIA solicitation remittance envelopes </w:t>
      </w:r>
      <w:r w:rsidR="00020BB2">
        <w:rPr>
          <w:rFonts w:cs="Arial"/>
        </w:rPr>
        <w:t xml:space="preserve">included with event information </w:t>
      </w:r>
      <w:r>
        <w:rPr>
          <w:rFonts w:cs="Arial"/>
        </w:rPr>
        <w:t>within close proximity to the event</w:t>
      </w:r>
      <w:r w:rsidR="00020BB2">
        <w:rPr>
          <w:rFonts w:cs="Arial"/>
        </w:rPr>
        <w:t>.</w:t>
      </w:r>
    </w:p>
    <w:p w14:paraId="38B774CB" w14:textId="77777777" w:rsidR="00275CF2" w:rsidRPr="00275CF2" w:rsidRDefault="00275CF2" w:rsidP="00275CF2">
      <w:pPr>
        <w:pStyle w:val="ListParagraph"/>
        <w:rPr>
          <w:rFonts w:cs="Arial"/>
        </w:rPr>
      </w:pPr>
    </w:p>
    <w:p w14:paraId="7108599F" w14:textId="77777777" w:rsidR="00275CF2" w:rsidRPr="002437B1" w:rsidRDefault="00275CF2" w:rsidP="002437B1">
      <w:pPr>
        <w:pStyle w:val="ListParagraph"/>
        <w:numPr>
          <w:ilvl w:val="0"/>
          <w:numId w:val="12"/>
        </w:numPr>
        <w:spacing w:after="0"/>
        <w:rPr>
          <w:rFonts w:cs="Arial"/>
        </w:rPr>
      </w:pPr>
      <w:r>
        <w:rPr>
          <w:rFonts w:cs="Arial"/>
        </w:rPr>
        <w:t>The collection of audience contact information for subsequent communication (from the Marketing and Communications Office) and for possible fundraising (from the Advancement Office).</w:t>
      </w:r>
    </w:p>
    <w:p w14:paraId="68632CB5" w14:textId="77777777" w:rsidR="00A17BF0" w:rsidRPr="00575354" w:rsidRDefault="00A17BF0" w:rsidP="00D85F09">
      <w:pPr>
        <w:spacing w:after="0"/>
        <w:rPr>
          <w:rFonts w:cs="Arial"/>
        </w:rPr>
      </w:pPr>
    </w:p>
    <w:p w14:paraId="3FB71703" w14:textId="77777777" w:rsidR="00575354" w:rsidRPr="00575354" w:rsidRDefault="00575354" w:rsidP="00D85F09">
      <w:pPr>
        <w:spacing w:after="0"/>
        <w:rPr>
          <w:rFonts w:cs="Arial"/>
        </w:rPr>
      </w:pPr>
    </w:p>
    <w:p w14:paraId="6DFAA035" w14:textId="77777777" w:rsidR="0031365C" w:rsidRPr="00D309EF" w:rsidRDefault="00575354" w:rsidP="00595625">
      <w:pPr>
        <w:spacing w:after="0"/>
        <w:rPr>
          <w:rFonts w:cs="Arial"/>
          <w:i/>
        </w:rPr>
      </w:pPr>
      <w:r w:rsidRPr="00575354">
        <w:rPr>
          <w:rFonts w:cs="Arial"/>
          <w:i/>
        </w:rPr>
        <w:t>Policy Approved by the staff Institutional Advancement Committee: March 9, 2016</w:t>
      </w:r>
      <w:bookmarkStart w:id="0" w:name="_GoBack"/>
      <w:bookmarkEnd w:id="0"/>
    </w:p>
    <w:sectPr w:rsidR="0031365C" w:rsidRPr="00D309EF" w:rsidSect="00C26C67">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2BD4B" w14:textId="77777777" w:rsidR="0055352F" w:rsidRDefault="0055352F" w:rsidP="008947D5">
      <w:pPr>
        <w:spacing w:after="0"/>
      </w:pPr>
      <w:r>
        <w:separator/>
      </w:r>
    </w:p>
  </w:endnote>
  <w:endnote w:type="continuationSeparator" w:id="0">
    <w:p w14:paraId="5D2E68BB" w14:textId="77777777" w:rsidR="0055352F" w:rsidRDefault="0055352F" w:rsidP="00894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628E" w14:textId="77777777" w:rsidR="008249FD" w:rsidRPr="00247C49" w:rsidRDefault="008249FD">
    <w:pPr>
      <w:pStyle w:val="Footer"/>
      <w:rPr>
        <w:i/>
        <w:sz w:val="18"/>
        <w:szCs w:val="18"/>
      </w:rPr>
    </w:pPr>
    <w:r w:rsidRPr="00247C49">
      <w:rPr>
        <w:rFonts w:cs="Arial"/>
        <w:i/>
        <w:sz w:val="18"/>
        <w:szCs w:val="18"/>
      </w:rPr>
      <w:t>Policy on Soliciting Donations at Events On IAIA Property</w:t>
    </w:r>
  </w:p>
  <w:p w14:paraId="1A6BA89F" w14:textId="77777777" w:rsidR="00D22F77" w:rsidRPr="00C26C67" w:rsidRDefault="008249FD">
    <w:pPr>
      <w:pStyle w:val="Footer"/>
      <w:rPr>
        <w:bCs/>
        <w:i/>
        <w:sz w:val="18"/>
        <w:szCs w:val="18"/>
      </w:rPr>
    </w:pPr>
    <w:r w:rsidRPr="00C26C67">
      <w:rPr>
        <w:i/>
        <w:sz w:val="18"/>
        <w:szCs w:val="18"/>
      </w:rPr>
      <w:t xml:space="preserve">Page </w:t>
    </w:r>
    <w:r w:rsidRPr="00C26C67">
      <w:rPr>
        <w:bCs/>
        <w:i/>
        <w:sz w:val="18"/>
        <w:szCs w:val="18"/>
      </w:rPr>
      <w:fldChar w:fldCharType="begin"/>
    </w:r>
    <w:r w:rsidRPr="00C26C67">
      <w:rPr>
        <w:bCs/>
        <w:i/>
        <w:sz w:val="18"/>
        <w:szCs w:val="18"/>
      </w:rPr>
      <w:instrText xml:space="preserve"> PAGE  \* Arabic  \* MERGEFORMAT </w:instrText>
    </w:r>
    <w:r w:rsidRPr="00C26C67">
      <w:rPr>
        <w:bCs/>
        <w:i/>
        <w:sz w:val="18"/>
        <w:szCs w:val="18"/>
      </w:rPr>
      <w:fldChar w:fldCharType="separate"/>
    </w:r>
    <w:r w:rsidR="00D309EF">
      <w:rPr>
        <w:bCs/>
        <w:i/>
        <w:noProof/>
        <w:sz w:val="18"/>
        <w:szCs w:val="18"/>
      </w:rPr>
      <w:t>3</w:t>
    </w:r>
    <w:r w:rsidRPr="00C26C67">
      <w:rPr>
        <w:bCs/>
        <w:i/>
        <w:sz w:val="18"/>
        <w:szCs w:val="18"/>
      </w:rPr>
      <w:fldChar w:fldCharType="end"/>
    </w:r>
    <w:r w:rsidRPr="00C26C67">
      <w:rPr>
        <w:i/>
        <w:sz w:val="18"/>
        <w:szCs w:val="18"/>
      </w:rPr>
      <w:t xml:space="preserve"> of </w:t>
    </w:r>
    <w:r w:rsidRPr="00C26C67">
      <w:rPr>
        <w:bCs/>
        <w:i/>
        <w:sz w:val="18"/>
        <w:szCs w:val="18"/>
      </w:rPr>
      <w:fldChar w:fldCharType="begin"/>
    </w:r>
    <w:r w:rsidRPr="00C26C67">
      <w:rPr>
        <w:bCs/>
        <w:i/>
        <w:sz w:val="18"/>
        <w:szCs w:val="18"/>
      </w:rPr>
      <w:instrText xml:space="preserve"> NUMPAGES  \* Arabic  \* MERGEFORMAT </w:instrText>
    </w:r>
    <w:r w:rsidRPr="00C26C67">
      <w:rPr>
        <w:bCs/>
        <w:i/>
        <w:sz w:val="18"/>
        <w:szCs w:val="18"/>
      </w:rPr>
      <w:fldChar w:fldCharType="separate"/>
    </w:r>
    <w:r w:rsidR="00D309EF">
      <w:rPr>
        <w:bCs/>
        <w:i/>
        <w:noProof/>
        <w:sz w:val="18"/>
        <w:szCs w:val="18"/>
      </w:rPr>
      <w:t>3</w:t>
    </w:r>
    <w:r w:rsidRPr="00C26C67">
      <w:rPr>
        <w:bCs/>
        <w:i/>
        <w:sz w:val="18"/>
        <w:szCs w:val="18"/>
      </w:rPr>
      <w:fldChar w:fldCharType="end"/>
    </w:r>
    <w:r w:rsidR="0094520C">
      <w:rPr>
        <w:bCs/>
        <w:i/>
        <w:sz w:val="18"/>
        <w:szCs w:val="18"/>
      </w:rPr>
      <w:tab/>
    </w:r>
    <w:r w:rsidR="0094520C">
      <w:rPr>
        <w:bCs/>
        <w:i/>
        <w:sz w:val="18"/>
        <w:szCs w:val="18"/>
      </w:rPr>
      <w:tab/>
      <w:t>Version 2016</w:t>
    </w:r>
    <w:r w:rsidR="00575354">
      <w:rPr>
        <w:bCs/>
        <w:i/>
        <w:sz w:val="18"/>
        <w:szCs w:val="18"/>
      </w:rPr>
      <w:t xml:space="preserve"> 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6365" w14:textId="77777777" w:rsidR="0055352F" w:rsidRDefault="0055352F" w:rsidP="008947D5">
      <w:pPr>
        <w:spacing w:after="0"/>
      </w:pPr>
      <w:r>
        <w:separator/>
      </w:r>
    </w:p>
  </w:footnote>
  <w:footnote w:type="continuationSeparator" w:id="0">
    <w:p w14:paraId="74454E82" w14:textId="77777777" w:rsidR="0055352F" w:rsidRDefault="0055352F" w:rsidP="008947D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4E58"/>
    <w:multiLevelType w:val="hybridMultilevel"/>
    <w:tmpl w:val="39E6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45781"/>
    <w:multiLevelType w:val="hybridMultilevel"/>
    <w:tmpl w:val="DE04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C55BA"/>
    <w:multiLevelType w:val="hybridMultilevel"/>
    <w:tmpl w:val="EB9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92F54"/>
    <w:multiLevelType w:val="hybridMultilevel"/>
    <w:tmpl w:val="D26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97531"/>
    <w:multiLevelType w:val="hybridMultilevel"/>
    <w:tmpl w:val="4C9C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E4813"/>
    <w:multiLevelType w:val="hybridMultilevel"/>
    <w:tmpl w:val="609E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9343C"/>
    <w:multiLevelType w:val="hybridMultilevel"/>
    <w:tmpl w:val="201C2B9C"/>
    <w:lvl w:ilvl="0" w:tplc="8C0C397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C2FB0"/>
    <w:multiLevelType w:val="hybridMultilevel"/>
    <w:tmpl w:val="508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86C77"/>
    <w:multiLevelType w:val="hybridMultilevel"/>
    <w:tmpl w:val="8FB2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33CEF"/>
    <w:multiLevelType w:val="hybridMultilevel"/>
    <w:tmpl w:val="D42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901A3"/>
    <w:multiLevelType w:val="hybridMultilevel"/>
    <w:tmpl w:val="1536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04EF7"/>
    <w:multiLevelType w:val="hybridMultilevel"/>
    <w:tmpl w:val="6380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86903"/>
    <w:multiLevelType w:val="hybridMultilevel"/>
    <w:tmpl w:val="B5DE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2"/>
  </w:num>
  <w:num w:numId="5">
    <w:abstractNumId w:val="9"/>
  </w:num>
  <w:num w:numId="6">
    <w:abstractNumId w:val="4"/>
  </w:num>
  <w:num w:numId="7">
    <w:abstractNumId w:val="1"/>
  </w:num>
  <w:num w:numId="8">
    <w:abstractNumId w:val="0"/>
  </w:num>
  <w:num w:numId="9">
    <w:abstractNumId w:val="5"/>
  </w:num>
  <w:num w:numId="10">
    <w:abstractNumId w:val="6"/>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5C"/>
    <w:rsid w:val="00020BB2"/>
    <w:rsid w:val="00053A86"/>
    <w:rsid w:val="00072E80"/>
    <w:rsid w:val="001139C3"/>
    <w:rsid w:val="00121317"/>
    <w:rsid w:val="0012222B"/>
    <w:rsid w:val="00133B16"/>
    <w:rsid w:val="00152A88"/>
    <w:rsid w:val="00177CBF"/>
    <w:rsid w:val="00181C69"/>
    <w:rsid w:val="001A0EF0"/>
    <w:rsid w:val="001A433E"/>
    <w:rsid w:val="001B697D"/>
    <w:rsid w:val="001E7E6F"/>
    <w:rsid w:val="002338B0"/>
    <w:rsid w:val="002437B1"/>
    <w:rsid w:val="00247C49"/>
    <w:rsid w:val="002524C1"/>
    <w:rsid w:val="0027483B"/>
    <w:rsid w:val="00274FED"/>
    <w:rsid w:val="00275CF2"/>
    <w:rsid w:val="002B3D38"/>
    <w:rsid w:val="002D3A89"/>
    <w:rsid w:val="0031365C"/>
    <w:rsid w:val="00345946"/>
    <w:rsid w:val="003902A5"/>
    <w:rsid w:val="003A59B7"/>
    <w:rsid w:val="003E1B8E"/>
    <w:rsid w:val="00460E9C"/>
    <w:rsid w:val="00462E1F"/>
    <w:rsid w:val="0047168F"/>
    <w:rsid w:val="00481AC3"/>
    <w:rsid w:val="00490956"/>
    <w:rsid w:val="004935A2"/>
    <w:rsid w:val="00527EAB"/>
    <w:rsid w:val="00545385"/>
    <w:rsid w:val="0055352F"/>
    <w:rsid w:val="00562A48"/>
    <w:rsid w:val="00575354"/>
    <w:rsid w:val="00595625"/>
    <w:rsid w:val="005C61DF"/>
    <w:rsid w:val="005E6828"/>
    <w:rsid w:val="00602A0F"/>
    <w:rsid w:val="0065622F"/>
    <w:rsid w:val="00657402"/>
    <w:rsid w:val="00664997"/>
    <w:rsid w:val="00685A39"/>
    <w:rsid w:val="006A3E77"/>
    <w:rsid w:val="006C2182"/>
    <w:rsid w:val="0075472C"/>
    <w:rsid w:val="007953D7"/>
    <w:rsid w:val="007C0DCE"/>
    <w:rsid w:val="00802B80"/>
    <w:rsid w:val="00812765"/>
    <w:rsid w:val="0081321D"/>
    <w:rsid w:val="008249FD"/>
    <w:rsid w:val="0085684E"/>
    <w:rsid w:val="008947D5"/>
    <w:rsid w:val="00895DD0"/>
    <w:rsid w:val="008D4DA7"/>
    <w:rsid w:val="0091500F"/>
    <w:rsid w:val="0094520C"/>
    <w:rsid w:val="009C723A"/>
    <w:rsid w:val="009F1DAC"/>
    <w:rsid w:val="009F7220"/>
    <w:rsid w:val="00A00ACB"/>
    <w:rsid w:val="00A17BF0"/>
    <w:rsid w:val="00A37E6C"/>
    <w:rsid w:val="00A610E7"/>
    <w:rsid w:val="00A64208"/>
    <w:rsid w:val="00A90B50"/>
    <w:rsid w:val="00B22DBB"/>
    <w:rsid w:val="00B45870"/>
    <w:rsid w:val="00B8036E"/>
    <w:rsid w:val="00BC130F"/>
    <w:rsid w:val="00BD6B5B"/>
    <w:rsid w:val="00BE215B"/>
    <w:rsid w:val="00BF4356"/>
    <w:rsid w:val="00C02A33"/>
    <w:rsid w:val="00C057AD"/>
    <w:rsid w:val="00C10A83"/>
    <w:rsid w:val="00C26C67"/>
    <w:rsid w:val="00C80CD6"/>
    <w:rsid w:val="00CA78C8"/>
    <w:rsid w:val="00D22F77"/>
    <w:rsid w:val="00D309EF"/>
    <w:rsid w:val="00D85F09"/>
    <w:rsid w:val="00DA15E4"/>
    <w:rsid w:val="00DD4D35"/>
    <w:rsid w:val="00DF6723"/>
    <w:rsid w:val="00E052C7"/>
    <w:rsid w:val="00E609F8"/>
    <w:rsid w:val="00E618E6"/>
    <w:rsid w:val="00EA35F5"/>
    <w:rsid w:val="00ED36BE"/>
    <w:rsid w:val="00F43A3F"/>
    <w:rsid w:val="00F50CB5"/>
    <w:rsid w:val="00F6672E"/>
    <w:rsid w:val="00F7779E"/>
    <w:rsid w:val="00F94C14"/>
    <w:rsid w:val="00F96540"/>
    <w:rsid w:val="00FA75BD"/>
    <w:rsid w:val="00FD3E44"/>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E0424"/>
  <w15:docId w15:val="{022B4E9B-5C97-4853-9D8D-9BBE85ED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6E"/>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25"/>
    <w:pPr>
      <w:ind w:left="720"/>
    </w:pPr>
  </w:style>
  <w:style w:type="paragraph" w:styleId="Header">
    <w:name w:val="header"/>
    <w:basedOn w:val="Normal"/>
    <w:link w:val="HeaderChar"/>
    <w:uiPriority w:val="99"/>
    <w:unhideWhenUsed/>
    <w:rsid w:val="008947D5"/>
    <w:pPr>
      <w:tabs>
        <w:tab w:val="center" w:pos="4680"/>
        <w:tab w:val="right" w:pos="9360"/>
      </w:tabs>
      <w:spacing w:after="0"/>
    </w:pPr>
  </w:style>
  <w:style w:type="character" w:customStyle="1" w:styleId="HeaderChar">
    <w:name w:val="Header Char"/>
    <w:basedOn w:val="DefaultParagraphFont"/>
    <w:link w:val="Header"/>
    <w:uiPriority w:val="99"/>
    <w:rsid w:val="008947D5"/>
    <w:rPr>
      <w:rFonts w:ascii="Arial" w:hAnsi="Arial"/>
    </w:rPr>
  </w:style>
  <w:style w:type="paragraph" w:styleId="Footer">
    <w:name w:val="footer"/>
    <w:basedOn w:val="Normal"/>
    <w:link w:val="FooterChar"/>
    <w:uiPriority w:val="99"/>
    <w:unhideWhenUsed/>
    <w:rsid w:val="008947D5"/>
    <w:pPr>
      <w:tabs>
        <w:tab w:val="center" w:pos="4680"/>
        <w:tab w:val="right" w:pos="9360"/>
      </w:tabs>
      <w:spacing w:after="0"/>
    </w:pPr>
  </w:style>
  <w:style w:type="character" w:customStyle="1" w:styleId="FooterChar">
    <w:name w:val="Footer Char"/>
    <w:basedOn w:val="DefaultParagraphFont"/>
    <w:link w:val="Footer"/>
    <w:uiPriority w:val="99"/>
    <w:rsid w:val="008947D5"/>
    <w:rPr>
      <w:rFonts w:ascii="Arial" w:hAnsi="Arial"/>
    </w:rPr>
  </w:style>
  <w:style w:type="paragraph" w:styleId="BalloonText">
    <w:name w:val="Balloon Text"/>
    <w:basedOn w:val="Normal"/>
    <w:link w:val="BalloonTextChar"/>
    <w:uiPriority w:val="99"/>
    <w:semiHidden/>
    <w:unhideWhenUsed/>
    <w:rsid w:val="00685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B597-F2C9-0745-822B-5A78B542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IAIA</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ashapiro</dc:creator>
  <cp:lastModifiedBy>Microsoft Office User</cp:lastModifiedBy>
  <cp:revision>3</cp:revision>
  <cp:lastPrinted>2015-11-17T18:13:00Z</cp:lastPrinted>
  <dcterms:created xsi:type="dcterms:W3CDTF">2016-03-10T20:06:00Z</dcterms:created>
  <dcterms:modified xsi:type="dcterms:W3CDTF">2016-03-17T16:15:00Z</dcterms:modified>
</cp:coreProperties>
</file>